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Anugerah Pertiwi (OSHE) merupakan anugerah yang memberi pengiktirafan kepada Pusat Tanggungjawab (PTj) yang mengamalkan dan membudayakan aspek keselamatan dan kesihatan di ruang kerja.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Terbuka kepada semua Pusat Tanggungjawab di bawah Jabatan Timbalan Naib Canselor (Hal Ehwal Pelajar dan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lumni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Penglibatan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mengikut Bahagian/Kolej Kediaman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pada tahun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 atau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Semua penyertaan perlu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disertakan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Senarai tarikh &amp;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bukti penganjuran program/aktiviti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OSHE (keselamatan &amp; kesihatan).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ii. Penambahbaikan sebelum &amp; selepas dari segi elemen keselamatan.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iii. Laporan perlu disediakan dalam bentuk slaid pembentangan.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iv. Bersedia mengikut tarikh sesi lawatan panel yang akan dimaklumkan kemudian.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KRITERIA PENILAIAN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adalah berdasarkan kepada aspek berikut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Proaktif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dalam penganjuran program/aktiviti OSHE (keselamatan &amp; kesihatan) dan mampu memberikan impak termasuk bukti pencapaian.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Penambahbaikan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konsisten dalam semua aspek meliputi pemantauan keselamatan pekerjaan, kemudahan infrastruktur, kebersihan dan keceriaan pejabat.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Tarikh tutup pencalonan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pada atau sebelum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Oktober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(Khamis) jam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5.00 petang.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Borang pencalonan hendaklah dihantar kepada urus setia anugerah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seperti mana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alamat di bawah 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Urus Setia Anugerah Pertiwi (OSHE)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Bahagian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Governan dan Pentadbiran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Timbalan Naib Canselor (HEPA)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81310 UTM Johor Bahru, Johor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(u.p: Cik Nazratul Hazirah binti Rushdan, emel: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nazratul@utm.my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014-6368845)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KUMPULAN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bagi tahun 2022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Pemenang bagi tahun 2023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RM100.00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0"/>
        <w:gridCol w:w="278"/>
        <w:gridCol w:w="4857"/>
        <w:gridCol w:w="1350"/>
        <w:gridCol w:w="278"/>
        <w:gridCol w:w="1700"/>
        <w:tblGridChange w:id="0">
          <w:tblGrid>
            <w:gridCol w:w="3080"/>
            <w:gridCol w:w="278"/>
            <w:gridCol w:w="4857"/>
            <w:gridCol w:w="1350"/>
            <w:gridCol w:w="278"/>
            <w:gridCol w:w="1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Pekerja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Bahagian/ Kolej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Telefon untuk dihubungi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Senaraikan aktiviti OSHE yang pernah dilaksanakan bagi tahun penilaian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dan 2023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PROGRAM / AKTIVITI OSHE YANG DILAKSANAKAN </w:t>
      </w:r>
    </w:p>
    <w:tbl>
      <w:tblPr>
        <w:tblStyle w:val="Table5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4005"/>
        <w:gridCol w:w="2010"/>
        <w:gridCol w:w="2010"/>
        <w:gridCol w:w="1320"/>
        <w:tblGridChange w:id="0">
          <w:tblGrid>
            <w:gridCol w:w="735"/>
            <w:gridCol w:w="4005"/>
            <w:gridCol w:w="2010"/>
            <w:gridCol w:w="2010"/>
            <w:gridCol w:w="132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 OSHE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AKTIVITI/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PERINGKAT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*Fakulti/ UTM/ Daerah/ Negeri/ Kebangsaan/ Antarabangsa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 PESERTA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Sila buat lampiran jika ruangan tidak mencukupi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* Sila kemukakan slaid sokongan dan bahan-bahan bukti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PEMOHON</w:t>
            </w:r>
          </w:p>
        </w:tc>
      </w:tr>
    </w:tbl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Tandatangan Staf/ Wakil PTj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PERAKUAN OLEH KETUA JABATAN</w:t>
            </w:r>
          </w:p>
        </w:tc>
      </w:tr>
    </w:tbl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064"/>
        <w:gridCol w:w="906"/>
        <w:gridCol w:w="461"/>
        <w:gridCol w:w="2160"/>
        <w:tblGridChange w:id="0">
          <w:tblGrid>
            <w:gridCol w:w="558"/>
            <w:gridCol w:w="2064"/>
            <w:gridCol w:w="906"/>
            <w:gridCol w:w="461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DISOKONG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TIDAK DISOKONG</w:t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ULASAN :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Tandatangan dan Cop Ketua Bahagian/Pengetua Kolej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5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655651" cy="557213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5651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3971925" cy="703164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64800" y="343710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PERTIWI – OSHE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3971925" cy="703164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1925" cy="703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-242887</wp:posOffset>
              </wp:positionH>
              <wp:positionV relativeFrom="paragraph">
                <wp:posOffset>-90487</wp:posOffset>
              </wp:positionV>
              <wp:extent cx="6889750" cy="8890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7475" y="3341850"/>
                        <a:ext cx="6877050" cy="8763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-242887</wp:posOffset>
              </wp:positionH>
              <wp:positionV relativeFrom="paragraph">
                <wp:posOffset>-90487</wp:posOffset>
              </wp:positionV>
              <wp:extent cx="6889750" cy="8890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9750" cy="889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0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rFonts w:ascii="Letter Gothic" w:hAnsi="Letter Gothic"/>
      <w:b w:val="1"/>
      <w:sz w:val="20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Copperplate Gothic Bold" w:hAnsi="Copperplate Gothic Bold"/>
      <w:b w:val="1"/>
      <w:sz w:val="6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 w:val="1"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 w:val="1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F1095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F1095B"/>
    <w:rPr>
      <w:rFonts w:ascii="Tahoma" w:cs="Tahoma" w:hAnsi="Tahoma"/>
      <w:sz w:val="16"/>
      <w:szCs w:val="16"/>
    </w:rPr>
  </w:style>
  <w:style w:type="character" w:styleId="m7eme" w:customStyle="1">
    <w:name w:val="m7eme"/>
    <w:basedOn w:val="DefaultParagraphFont"/>
    <w:rsid w:val="00A66D12"/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zratul@utm.my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VcXn49ft1cUOyp3gHbQOpGXBA==">CgMxLjAyCGguZ2pkZ3hzMgloLjMwajB6bGw4AHIhMW5aaWZvNndkX1dZS245aU12LXVndlI3S09wRzNTenBC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2021-10-27T06:26:00Z</dcterms:created>
  <dc:creator>Ahmad Najah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e54793d80c6001080a668fc3b165be0c08225d0ca81d48df4e4270aa97754468</vt:lpwstr>
  </property>
</Properties>
</file>