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KRITERIA ANUGERAH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PENGENALAN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8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Anugerah ini diberikan kepada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FELOW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yang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paling aktif dan Cemerlang serta banyak membantu Jabatan Timbalan Naib Canselor (Hal Ehwal Pelajar dan Alumni) dalam pelaksanaan aktiviti Pembangunan Pelajar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sentiasa memberikan kerjasama, dan positif meningkatkan usaha tersebut serta mempunyai nilai-nilai terpuji apabila berurusan dengan Jabatan ini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bagi tahun 2022 dan 2023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PERMOHONAN PENCALONAN / PENYERTAAN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Terbuka kepada semua Felow Kolej Kediaman di Kampus UTM Johor Bahru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 Kuala Lumpur.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Penglibatan secara individu mahupun secara berkumpulan dan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dilaksanakan pada tahun 2022 dan 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Semua penyertaan perlu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disertakan bukti-bukti penganjuran dalam bentuk slaid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KRITERIA PENILAIAN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Penilaian adalah berdasarkan kepada aspek berikut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Bilangan aktiviti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Pembangunan Pelajar Holisitik (HSD) yang dianjurkan secara bersama/ berkolaborasi dengan Jabatan Timbalan Naib Canselor (HEPA) pada tahun dinilai.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Aktiviti yang dianjurkan secara bersinergi telah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didaftarkan di dalam Sistem Aktiviti Pelajar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bawah portal UTMAcad.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Peringkat penganjuran adalah bebas sama ada di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peringkat Fakulti, Universiti, Daerah, Negeri, Kebangsaan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Antarabangsa.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Semua kategori aktiviti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Pembangunan Pelajar boleh diambilkira seperti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Kepimpinan, Keusahawanan &amp; Pengurusan, Inovasi &amp; Kreativiti, Pengkayaan Akademik, Kaunseling &amp; Pembangunan Kerjaya, Khidmat Komuniti &amp; Kesukarelawanan, Sukan &amp; Rekreasi atau Kebudayaan &amp; Kerohanian.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Aktiviti HSD yang dianjurkan telah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menyumbang kepada pembangunan pengetahuan,  kemahiran atau pembangunan sahsiah pelajar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08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Penilaian adalah berdasarkan kreativiti/inovasi/inisiatif yang dilaksanakan sama ada dalam perancangan, pelaksanaan dan pelaporan aktiviti yang jelas menunjukkan sinergi dan komitmen secara berterusan menjayakan hasrat HSD tersebut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Tarikh tutup pencalonan adalah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pada atau sebelum 20 Oktober 2024 (Ahad) jam 5.00 petang.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Borang pencalonan hendaklah dihantar kepada urus setia anugerah sepertimana alamat di bawah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Urus Setia Anugerah Bintang Kejora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Jabatan Timbalan Naib Canselor (HEPA)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81310 UTM Johor Bahru, Johor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(u.p:  Prof. Madya. Dr. Mohd Haizal bin Jamaluddin | haizal@utm.my | 0137089306)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KATEGORI ANUGERAH DAN HADIAH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Ind w:w="1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6030"/>
        <w:tblGridChange w:id="0">
          <w:tblGrid>
            <w:gridCol w:w="2880"/>
            <w:gridCol w:w="60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KATEGORI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ANUGERAH / HADIAH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INDIVIDU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 Pemenang bagi tahun 2022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Pemenang bagi tahun 2023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Wang Tunai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RM50.00 dan Sijil Penghargaan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BORANG PENYERTAAN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</w:t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80"/>
        <w:gridCol w:w="278"/>
        <w:gridCol w:w="4857"/>
        <w:gridCol w:w="1350"/>
        <w:gridCol w:w="278"/>
        <w:gridCol w:w="1700"/>
        <w:tblGridChange w:id="0">
          <w:tblGrid>
            <w:gridCol w:w="3080"/>
            <w:gridCol w:w="278"/>
            <w:gridCol w:w="4857"/>
            <w:gridCol w:w="1350"/>
            <w:gridCol w:w="278"/>
            <w:gridCol w:w="170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Pekerja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Jawatan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Bahagian/ Kolej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No. Telefon untuk dihubungi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0"/>
                <w:tab w:val="left" w:leader="none" w:pos="27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270"/>
        </w:tabs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65"/>
        <w:tblGridChange w:id="0">
          <w:tblGrid>
            <w:gridCol w:w="1016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BAHAGIAN II</w:t>
            </w:r>
          </w:p>
        </w:tc>
      </w:tr>
    </w:tbl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Senaraikan program atau aktiviti kolej yang pernah dilaksanakan bagi tahun penilaian 2022 dan 2023. 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PROGRAM / AKTIVITI YANG DILAKSANAKAN </w:t>
      </w:r>
    </w:p>
    <w:tbl>
      <w:tblPr>
        <w:tblStyle w:val="Table5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4020"/>
        <w:gridCol w:w="2010"/>
        <w:gridCol w:w="2010"/>
        <w:gridCol w:w="1320"/>
        <w:tblGridChange w:id="0">
          <w:tblGrid>
            <w:gridCol w:w="720"/>
            <w:gridCol w:w="4020"/>
            <w:gridCol w:w="2010"/>
            <w:gridCol w:w="2010"/>
            <w:gridCol w:w="1320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 PEMBANGUNAN PELAJAR HOLISITIK (HSD) YANG DILAKSANAKAN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AKTIVITI/ PROGRAM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TARIKH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PERINGKAT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*Fakulti/ UTM/ Daerah/ Negeri/ Kebangsaan/ Antarabangsa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BIL. PESERTA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Sila buat lampiran jika ruangan tidak mencukupi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* Sila kemukakan slaid sokongan dan bahan-bahan bukti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PENGESAHAN PEMOHON</w:t>
            </w:r>
          </w:p>
        </w:tc>
      </w:tr>
    </w:tbl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Saya mengesahkan segala maklumat yang dilaporkan dan dilampirkan adalah benar.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Tandatangan Staf/ Wakil PTj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PERAKUAN OLEH PENGETUA KOLEJ</w:t>
            </w:r>
          </w:p>
        </w:tc>
      </w:tr>
    </w:tbl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"/>
        <w:gridCol w:w="2064"/>
        <w:gridCol w:w="906"/>
        <w:gridCol w:w="461"/>
        <w:gridCol w:w="2160"/>
        <w:tblGridChange w:id="0">
          <w:tblGrid>
            <w:gridCol w:w="558"/>
            <w:gridCol w:w="2064"/>
            <w:gridCol w:w="906"/>
            <w:gridCol w:w="461"/>
            <w:gridCol w:w="216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DISOKONG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TIDAK DISOKONG</w:t>
            </w:r>
          </w:p>
        </w:tc>
      </w:tr>
    </w:tbl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ULASAN :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</w:t>
        <w:tab/>
        <w:tab/>
        <w:tab/>
        <w:tab/>
        <w:tab/>
        <w:t xml:space="preserve">Tarikh : ______________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Tandatangan dan Cop Pengetua Kolej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1440" w:top="1440" w:left="1080" w:right="1080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thazar"/>
  <w:font w:name="Letter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right" w:leader="none" w:pos="95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  <w:drawing>
        <wp:inline distB="0" distT="0" distL="0" distR="0">
          <wp:extent cx="2722574" cy="573685"/>
          <wp:effectExtent b="0" l="0" r="0" t="0"/>
          <wp:docPr descr="A red and white logo&#10;&#10;Description automatically generated" id="2047910847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22574" cy="573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971925" cy="695325"/>
              <wp:effectExtent b="0" l="0" r="0" t="0"/>
              <wp:wrapNone/>
              <wp:docPr id="204791084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64800" y="3437100"/>
                        <a:ext cx="3962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KRITERIA DAN BORANG PENYERTAAN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BINTANG KEJORA – FELOW CEMERLANG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Anugerah Budi Kencana JTNC (HEPA)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2667000</wp:posOffset>
              </wp:positionH>
              <wp:positionV relativeFrom="paragraph">
                <wp:posOffset>0</wp:posOffset>
              </wp:positionV>
              <wp:extent cx="3971925" cy="695325"/>
              <wp:effectExtent b="0" l="0" r="0" t="0"/>
              <wp:wrapNone/>
              <wp:docPr id="204791084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1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-101599</wp:posOffset>
              </wp:positionV>
              <wp:extent cx="6889750" cy="889000"/>
              <wp:effectExtent b="0" l="0" r="0" t="0"/>
              <wp:wrapNone/>
              <wp:docPr id="204791084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7475" y="3341850"/>
                        <a:ext cx="6877050" cy="876300"/>
                      </a:xfrm>
                      <a:prstGeom prst="rect">
                        <a:avLst/>
                      </a:prstGeom>
                      <a:noFill/>
                      <a:ln cap="flat" cmpd="sng" w="12700">
                        <a:solidFill>
                          <a:srgbClr val="99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-101599</wp:posOffset>
              </wp:positionV>
              <wp:extent cx="6889750" cy="889000"/>
              <wp:effectExtent b="0" l="0" r="0" t="0"/>
              <wp:wrapNone/>
              <wp:docPr id="204791084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9750" cy="889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585.35pt;height:23.4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KONVENSYEN KIK PERINGKAT IPTA KALI KE-5 TAHUN 2008" style="font-family:&amp;quot;Georgia&amp;quot;;font-size:8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0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ms-M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Letter Gothic" w:cs="Letter Gothic" w:eastAsia="Letter Gothic" w:hAnsi="Letter Gothic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</w:pPr>
    <w:rPr>
      <w:rFonts w:ascii="Balthazar" w:cs="Balthazar" w:eastAsia="Balthazar" w:hAnsi="Balthazar"/>
      <w:b w:val="1"/>
      <w:sz w:val="60"/>
      <w:szCs w:val="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rFonts w:ascii="Letter Gothic" w:hAnsi="Letter Gothic"/>
      <w:b w:val="1"/>
      <w:sz w:val="20"/>
    </w:rPr>
  </w:style>
  <w:style w:type="paragraph" w:styleId="Heading2">
    <w:name w:val="heading 2"/>
    <w:basedOn w:val="Normal"/>
    <w:next w:val="Normal"/>
    <w:qFormat w:val="1"/>
    <w:pPr>
      <w:keepNext w:val="1"/>
      <w:outlineLvl w:val="1"/>
    </w:pPr>
    <w:rPr>
      <w:rFonts w:ascii="Copperplate Gothic Bold" w:hAnsi="Copperplate Gothic Bold"/>
      <w:b w:val="1"/>
      <w:sz w:val="6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qFormat w:val="1"/>
    <w:rPr>
      <w:i w:val="1"/>
      <w:iCs w:val="1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SubtitleChar" w:customStyle="1">
    <w:name w:val="Subtitle Char"/>
    <w:link w:val="Subtitle"/>
    <w:rPr>
      <w:rFonts w:ascii="Cambria" w:cs="Times New Roman" w:eastAsia="Times New Roman" w:hAnsi="Cambria"/>
      <w:sz w:val="24"/>
      <w:szCs w:val="24"/>
    </w:rPr>
  </w:style>
  <w:style w:type="character" w:styleId="TitleChar" w:customStyle="1">
    <w:name w:val="Title Char"/>
    <w:link w:val="Title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 w:val="1"/>
    <w:pPr>
      <w:spacing w:after="60"/>
      <w:jc w:val="center"/>
      <w:outlineLvl w:val="1"/>
    </w:pPr>
    <w:rPr>
      <w:rFonts w:ascii="Cambria" w:hAnsi="Cambria"/>
    </w:rPr>
  </w:style>
  <w:style w:type="paragraph" w:styleId="Title">
    <w:name w:val="Title"/>
    <w:basedOn w:val="Normal"/>
    <w:next w:val="Normal"/>
    <w:link w:val="TitleChar"/>
    <w:qFormat w:val="1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pPr>
      <w:ind w:left="720"/>
    </w:pPr>
  </w:style>
  <w:style w:type="table" w:styleId="TableGrid">
    <w:name w:val="Table Grid"/>
    <w:basedOn w:val="TableNormal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F1095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F1095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fkgpGDZRla/8+xrvFtcr204kA==">CgMxLjA4AHIhMXRXM3A4Vl90LWNMZFZhN0lla2NFLUlHUWwyWVNhSm1k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2021-10-27T06:26:00Z</dcterms:created>
  <dc:creator>Ahmad Najah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  <property fmtid="{D5CDD505-2E9C-101B-9397-08002B2CF9AE}" pid="3" name="GrammarlyDocumentId">
    <vt:lpwstr>e54793d80c6001080a668fc3b165be0c08225d0ca81d48df4e4270aa97754468</vt:lpwstr>
  </property>
</Properties>
</file>