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Anugerah ini diberikan kepada kumpulan atau Pusat Tanggungjawab (PTj) yang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bagi tahun 2022 dan 2023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Terbuka kepada semua Pusat Tanggungjawab di bawah Jabatan Timbalan Naib Canselor (Hal Ehwal Pelajar dan Alumni).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Penglibatan secara berkumpulan dan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dilaksanakan pada tahun 2022 dan 2023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Semua penyertaan perlu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disertakan bukti-bukti penganjuran dalam bentuk slaid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kepada aspek berikut 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Sentiasa mengemas kini laman sesawang dan media sosial rasmi PTj dari semasa ke semasa bagi memastikan impak kehadiran dirasai dalam mencapai penarafan webometrik;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Mempunyai bilangan pelawat yang konsisten dan sentiasa bertambah pada setiap bulan melayari laman sesawang rasmi PTj di Jabatan TNC (HEPA);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Capaian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webometrics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tertinggi dalam enjian carian Google atau Yahoo;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Sentiasa mengaplikasikan teknologi maklumat secara kreatif dan inovatif dengan memastikan penghematan nilai kewangan dalam pelaksanaan tugas-tugas semasa di PTj masing-masing;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Laman sesawang dan media sosial rasmi sentiasa menjadi rujukan pemegang taruh (khasnya pelajar) dalam dan luar kampus; dan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Mempunyai imej dan jenama tersendiri dalam memperkenalkan sesuatu produk mahupun program berteraskan pelajar.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pada atau sebelum 20 Oktober 2024 (Ahad) jam 5.00 petang.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sepertimana alamat di bawah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Urus Setia Anugerah 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udi Kencana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Jabatan Timbalan Naib Canselor (Hal Ehwal Pelajar dan Alumni)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81310 UTM Johor Bahru, Johor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(u.p:  Cik Noor Baidura binti Ismail | noorbaidura@utm.my | 013-2538307)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KUMPULAN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Pemenang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bagi tahun 2022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Pemenang bagi tahun 2023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8"/>
        <w:gridCol w:w="4857"/>
        <w:gridCol w:w="1350"/>
        <w:gridCol w:w="278"/>
        <w:gridCol w:w="1700"/>
        <w:tblGridChange w:id="0">
          <w:tblGrid>
            <w:gridCol w:w="3080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Bahagian/ Kolej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Telefon untuk dihubungi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2"/>
                <w:szCs w:val="22"/>
                <w:highlight w:val="white"/>
                <w:rtl w:val="0"/>
              </w:rPr>
              <w:t xml:space="preserve">Alamat Laman Web/Media Sosial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inovasi digital yang meningkatkan produktiviti yang pernah dilaksanakan bagi tahun penilaian 2022 dan  2023. 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PROGRAM / AKTIVITI INOVASI DIGITAL YANG DILAKSANAKAN </w:t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4115"/>
        <w:gridCol w:w="2006"/>
        <w:gridCol w:w="2006"/>
        <w:gridCol w:w="1319"/>
        <w:tblGridChange w:id="0">
          <w:tblGrid>
            <w:gridCol w:w="624"/>
            <w:gridCol w:w="4115"/>
            <w:gridCol w:w="2006"/>
            <w:gridCol w:w="2006"/>
            <w:gridCol w:w="131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 INOVASI DIGITAL YANG DILAKSANAKAN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AKTIVITI/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*Fakulti/ UTM/ Daerah/ Negeri/ Kebangsaan/ Antarabangsa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 PESERTA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slaid sokongan dan bahan-bahan bukti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Tandatangan Staf/ Wakil PTj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</w:t>
            </w:r>
          </w:p>
        </w:tc>
      </w:tr>
    </w:tbl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Pengetua Kolej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646209" cy="557594"/>
          <wp:effectExtent b="0" l="0" r="0" t="0"/>
          <wp:docPr descr="A red and white logo&#10;&#10;Description automatically generated" id="1389935846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6209" cy="5575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704850"/>
              <wp:effectExtent b="0" l="0" r="0" t="0"/>
              <wp:wrapNone/>
              <wp:docPr id="13899358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BERLIAN- DIGITAL, IT DAN PEMASARAN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704850"/>
              <wp:effectExtent b="0" l="0" r="0" t="0"/>
              <wp:wrapNone/>
              <wp:docPr id="13899358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-126999</wp:posOffset>
              </wp:positionV>
              <wp:extent cx="6902450" cy="901700"/>
              <wp:effectExtent b="0" l="0" r="0" t="0"/>
              <wp:wrapNone/>
              <wp:docPr id="138993584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01125" y="3335500"/>
                        <a:ext cx="6889750" cy="8890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-126999</wp:posOffset>
              </wp:positionV>
              <wp:extent cx="6902450" cy="901700"/>
              <wp:effectExtent b="0" l="0" r="0" t="0"/>
              <wp:wrapNone/>
              <wp:docPr id="138993584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0" cy="901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rFonts w:ascii="Letter Gothic" w:hAnsi="Letter Gothic"/>
      <w:b w:val="1"/>
      <w:sz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Copperplate Gothic Bold" w:hAnsi="Copperplate Gothic Bold"/>
      <w:b w:val="1"/>
      <w:sz w:val="6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mbria" w:cs="Cambria" w:eastAsia="Cambria" w:hAnsi="Cambri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F109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F1095B"/>
    <w:rPr>
      <w:rFonts w:ascii="Tahoma" w:cs="Tahoma" w:hAnsi="Tahoma"/>
      <w:sz w:val="16"/>
      <w:szCs w:val="16"/>
    </w:rPr>
  </w:style>
  <w:style w:type="character" w:styleId="m7eme" w:customStyle="1">
    <w:name w:val="m7eme"/>
    <w:basedOn w:val="DefaultParagraphFont"/>
    <w:rsid w:val="00A66D12"/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3w3HNQbfj/Ufk4sC6ewVP6flA==">CgMxLjA4AHIhMTRvOVhJV0kzNC14UW9DVl9xVEdDSWNDRFZ2emhzZWR6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2021-10-27T06:26:00Z</dcterms:created>
  <dc:creator>Ahmad Najah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e54793d80c6001080a668fc3b165be0c08225d0ca81d48df4e4270aa97754468</vt:lpwstr>
  </property>
</Properties>
</file>